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rFonts w:ascii="新宋体" w:hAnsi="新宋体" w:eastAsia="新宋体" w:cs="新宋体"/>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ln>
                      </wps:spPr>
                      <wps:bodyPr/>
                    </wps:wsp>
                  </a:graphicData>
                </a:graphic>
              </wp:anchor>
            </w:drawing>
          </mc:Choice>
          <mc:Fallback>
            <w:pict>
              <v:line id="直接连接符 2"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K+6VtYAAAAGAQAADwAAAAAAAAABACAAAAAiAAAAZHJzL2Rvd25yZXYueG1sUEsBAhQAFAAA&#10;AAgAh07iQEUn9jHxAQAAtwMAAA4AAAAAAAAAAQAgAAAAJQEAAGRycy9lMm9Eb2MueG1sUEsFBgAA&#10;AAAGAAYAWQEAAIgFA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8"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ln>
                      </wps:spPr>
                      <wps:bodyPr/>
                    </wps:wsp>
                  </a:graphicData>
                </a:graphic>
              </wp:anchor>
            </w:drawing>
          </mc:Choice>
          <mc:Fallback>
            <w:pict>
              <v:line id="直接连接符 1"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W9YvTAAAABgEAAA8AAAAAAAAAAQAgAAAAIgAAAGRycy9kb3ducmV2LnhtbFBLAQIUABQAAAAI&#10;AIdO4kDyNeW88gEAALkDAAAOAAAAAAAAAAEAIAAAACIBAABkcnMvZTJvRG9jLnhtbFBLBQYAAAAA&#10;BgAGAFkBAACGBQAAAAA=&#10;">
                <v:fill on="f" focussize="0,0"/>
                <v:stroke weight="2pt" color="#FF0000" joinstyle="round"/>
                <v:imagedata o:title=""/>
                <o:lock v:ext="edit" aspectratio="f"/>
              </v:line>
            </w:pict>
          </mc:Fallback>
        </mc:AlternateContent>
      </w:r>
    </w:p>
    <w:p>
      <w:pPr>
        <w:spacing w:line="560" w:lineRule="exact"/>
        <w:jc w:val="right"/>
        <w:rPr>
          <w:rFonts w:hint="eastAsia" w:ascii="新宋体" w:hAnsi="新宋体" w:eastAsia="新宋体" w:cs="新宋体"/>
          <w:color w:val="000000"/>
          <w:sz w:val="32"/>
          <w:szCs w:val="32"/>
        </w:rPr>
      </w:pPr>
      <w:r>
        <w:rPr>
          <w:rFonts w:ascii="新宋体" w:hAnsi="新宋体" w:eastAsia="新宋体" w:cs="新宋体"/>
          <w:color w:val="000000"/>
          <w:sz w:val="32"/>
          <w:szCs w:val="32"/>
        </w:rPr>
        <w:t>南大国实函</w:t>
      </w:r>
      <w:r>
        <w:rPr>
          <w:rFonts w:hint="eastAsia" w:ascii="新宋体" w:hAnsi="新宋体" w:eastAsia="新宋体" w:cs="新宋体"/>
          <w:color w:val="000000"/>
          <w:sz w:val="32"/>
          <w:szCs w:val="32"/>
        </w:rPr>
        <w:t>[</w:t>
      </w:r>
      <w:r>
        <w:rPr>
          <w:rFonts w:ascii="新宋体" w:hAnsi="新宋体" w:eastAsia="新宋体" w:cs="新宋体"/>
          <w:color w:val="000000"/>
          <w:sz w:val="32"/>
          <w:szCs w:val="32"/>
        </w:rPr>
        <w:t>2021</w:t>
      </w:r>
      <w:r>
        <w:rPr>
          <w:rFonts w:hint="eastAsia" w:ascii="新宋体" w:hAnsi="新宋体" w:eastAsia="新宋体" w:cs="新宋体"/>
          <w:color w:val="000000"/>
          <w:sz w:val="32"/>
          <w:szCs w:val="32"/>
        </w:rPr>
        <w:t>]</w:t>
      </w:r>
      <w:r>
        <w:rPr>
          <w:rFonts w:hint="eastAsia" w:ascii="新宋体" w:hAnsi="新宋体" w:eastAsia="新宋体" w:cs="新宋体"/>
          <w:color w:val="000000"/>
          <w:sz w:val="32"/>
          <w:szCs w:val="32"/>
          <w:lang w:val="en-US" w:eastAsia="zh-CN"/>
        </w:rPr>
        <w:t>12</w:t>
      </w:r>
      <w:r>
        <w:rPr>
          <w:rFonts w:hint="eastAsia" w:ascii="新宋体" w:hAnsi="新宋体" w:eastAsia="新宋体" w:cs="新宋体"/>
          <w:color w:val="000000"/>
          <w:sz w:val="32"/>
          <w:szCs w:val="32"/>
        </w:rPr>
        <w:t>号</w:t>
      </w:r>
    </w:p>
    <w:p>
      <w:pPr>
        <w:spacing w:line="560" w:lineRule="exact"/>
        <w:jc w:val="right"/>
        <w:rPr>
          <w:rFonts w:hint="eastAsia" w:ascii="新宋体" w:hAnsi="新宋体" w:eastAsia="新宋体" w:cs="新宋体"/>
          <w:color w:val="000000"/>
          <w:sz w:val="32"/>
          <w:szCs w:val="32"/>
        </w:rPr>
      </w:pPr>
    </w:p>
    <w:p>
      <w:pPr>
        <w:jc w:val="center"/>
        <w:rPr>
          <w:b/>
          <w:sz w:val="44"/>
          <w:szCs w:val="44"/>
        </w:rPr>
      </w:pPr>
      <w:r>
        <w:rPr>
          <w:b/>
          <w:sz w:val="44"/>
          <w:szCs w:val="44"/>
        </w:rPr>
        <w:t>关于进一步做好新冠肺炎疫情防控期间实验室生物安全管理工作的通知</w:t>
      </w:r>
    </w:p>
    <w:p>
      <w:pPr>
        <w:jc w:val="center"/>
        <w:rPr>
          <w:b/>
          <w:sz w:val="44"/>
          <w:szCs w:val="44"/>
        </w:rPr>
      </w:pPr>
    </w:p>
    <w:p>
      <w:pPr>
        <w:jc w:val="left"/>
        <w:rPr>
          <w:rFonts w:ascii="仿宋_GB2312" w:eastAsia="仿宋_GB2312"/>
          <w:sz w:val="32"/>
          <w:szCs w:val="32"/>
        </w:rPr>
      </w:pPr>
      <w:r>
        <w:rPr>
          <w:rFonts w:hint="eastAsia" w:ascii="仿宋_GB2312" w:eastAsia="仿宋_GB2312"/>
          <w:sz w:val="32"/>
          <w:szCs w:val="32"/>
        </w:rPr>
        <w:t>校内各相关单位：</w:t>
      </w:r>
    </w:p>
    <w:p>
      <w:pPr>
        <w:ind w:firstLine="645"/>
        <w:jc w:val="left"/>
        <w:rPr>
          <w:rFonts w:hint="eastAsia" w:ascii="仿宋_GB2312" w:eastAsia="仿宋_GB2312"/>
          <w:sz w:val="32"/>
          <w:szCs w:val="32"/>
        </w:rPr>
      </w:pPr>
      <w:r>
        <w:rPr>
          <w:rFonts w:hint="eastAsia" w:ascii="仿宋_GB2312" w:eastAsia="仿宋_GB2312"/>
          <w:sz w:val="32"/>
          <w:szCs w:val="32"/>
        </w:rPr>
        <w:t>根据江西省教育系统新型冠状病毒感染的肺炎疫情防控工作领导小组《关于转发</w:t>
      </w:r>
      <w:r>
        <w:rPr>
          <w:rFonts w:hint="eastAsia" w:ascii="仿宋_GB2312" w:hAnsi="Arial" w:eastAsia="仿宋_GB2312" w:cs="Arial"/>
          <w:color w:val="333333"/>
          <w:sz w:val="32"/>
          <w:szCs w:val="32"/>
          <w:shd w:val="clear" w:color="auto" w:fill="FFFFFF"/>
        </w:rPr>
        <w:t>〈</w:t>
      </w:r>
      <w:r>
        <w:rPr>
          <w:rFonts w:hint="eastAsia" w:ascii="仿宋_GB2312" w:eastAsia="仿宋_GB2312"/>
          <w:sz w:val="32"/>
          <w:szCs w:val="32"/>
        </w:rPr>
        <w:t>关于进一步做好新冠肺炎疫情防控期间实验室生物安全管理工作的通知</w:t>
      </w:r>
      <w:r>
        <w:rPr>
          <w:rFonts w:hint="eastAsia" w:ascii="仿宋_GB2312" w:hAnsi="Arial" w:eastAsia="仿宋_GB2312" w:cs="Arial"/>
          <w:color w:val="333333"/>
          <w:sz w:val="32"/>
          <w:szCs w:val="32"/>
          <w:shd w:val="clear" w:color="auto" w:fill="FFFFFF"/>
        </w:rPr>
        <w:t>〉</w:t>
      </w:r>
      <w:r>
        <w:rPr>
          <w:rFonts w:hint="eastAsia" w:ascii="仿宋_GB2312" w:eastAsia="仿宋_GB2312"/>
          <w:sz w:val="32"/>
          <w:szCs w:val="32"/>
        </w:rPr>
        <w:t>的通知》（赣教新冠防控字〔2021〕39号）的要求，各相关单位按要求认真做好我校人间传染的病原微生物实验室（以下简称“实验室”）生物安全各项管理工作，并将实验室相关情况《南昌大学涉病原微生物实验室情况统计表》电子版，于8月18日下午前报国有资产与实验室管理处万亮OA邮箱。</w:t>
      </w:r>
    </w:p>
    <w:p>
      <w:pPr>
        <w:ind w:firstLine="645"/>
        <w:jc w:val="left"/>
        <w:rPr>
          <w:rFonts w:hint="eastAsia" w:ascii="仿宋_GB2312" w:eastAsia="仿宋_GB2312"/>
          <w:sz w:val="32"/>
          <w:szCs w:val="32"/>
        </w:rPr>
      </w:pPr>
    </w:p>
    <w:p>
      <w:pPr>
        <w:ind w:firstLine="645"/>
        <w:jc w:val="left"/>
        <w:rPr>
          <w:rFonts w:ascii="仿宋_GB2312" w:eastAsia="仿宋_GB2312"/>
          <w:sz w:val="32"/>
          <w:szCs w:val="32"/>
        </w:rPr>
      </w:pPr>
      <w:r>
        <w:rPr>
          <w:rFonts w:hint="eastAsia" w:ascii="仿宋_GB2312" w:eastAsia="仿宋_GB2312"/>
          <w:sz w:val="32"/>
          <w:szCs w:val="32"/>
        </w:rPr>
        <w:t>附件：</w:t>
      </w:r>
    </w:p>
    <w:p>
      <w:pPr>
        <w:ind w:firstLine="645"/>
        <w:jc w:val="left"/>
        <w:rPr>
          <w:rFonts w:ascii="仿宋_GB2312" w:eastAsia="仿宋_GB2312"/>
          <w:sz w:val="32"/>
          <w:szCs w:val="32"/>
        </w:rPr>
      </w:pPr>
      <w:r>
        <w:rPr>
          <w:rFonts w:hint="eastAsia" w:ascii="仿宋_GB2312" w:eastAsia="仿宋_GB2312"/>
          <w:sz w:val="32"/>
          <w:szCs w:val="32"/>
        </w:rPr>
        <w:t>1.关于转发</w:t>
      </w:r>
      <w:r>
        <w:rPr>
          <w:rFonts w:hint="eastAsia" w:ascii="仿宋_GB2312" w:hAnsi="Arial" w:eastAsia="仿宋_GB2312" w:cs="Arial"/>
          <w:color w:val="333333"/>
          <w:sz w:val="32"/>
          <w:szCs w:val="32"/>
          <w:shd w:val="clear" w:color="auto" w:fill="FFFFFF"/>
        </w:rPr>
        <w:t>《</w:t>
      </w:r>
      <w:r>
        <w:rPr>
          <w:rFonts w:hint="eastAsia" w:ascii="仿宋_GB2312" w:eastAsia="仿宋_GB2312"/>
          <w:sz w:val="32"/>
          <w:szCs w:val="32"/>
        </w:rPr>
        <w:t>关于进一步做好新冠肺炎疫情防控期间实验室生物安全管理工作的通知</w:t>
      </w:r>
      <w:r>
        <w:rPr>
          <w:rFonts w:hint="eastAsia" w:ascii="仿宋_GB2312" w:hAnsi="Arial" w:eastAsia="仿宋_GB2312" w:cs="Arial"/>
          <w:color w:val="333333"/>
          <w:sz w:val="32"/>
          <w:szCs w:val="32"/>
          <w:shd w:val="clear" w:color="auto" w:fill="FFFFFF"/>
        </w:rPr>
        <w:t>》</w:t>
      </w:r>
      <w:r>
        <w:rPr>
          <w:rFonts w:hint="eastAsia" w:ascii="仿宋_GB2312" w:eastAsia="仿宋_GB2312"/>
          <w:sz w:val="32"/>
          <w:szCs w:val="32"/>
        </w:rPr>
        <w:t>的通知（赣教新冠防控字〔2021〕39号）</w:t>
      </w:r>
    </w:p>
    <w:p>
      <w:pPr>
        <w:ind w:firstLine="645"/>
        <w:jc w:val="left"/>
        <w:rPr>
          <w:rFonts w:hint="eastAsia" w:ascii="仿宋_GB2312" w:eastAsia="仿宋_GB2312"/>
          <w:sz w:val="32"/>
          <w:szCs w:val="32"/>
        </w:rPr>
      </w:pPr>
      <w:r>
        <w:rPr>
          <w:rFonts w:hint="eastAsia" w:ascii="仿宋_GB2312" w:eastAsia="仿宋_GB2312"/>
          <w:sz w:val="32"/>
          <w:szCs w:val="32"/>
        </w:rPr>
        <w:t>2.南昌大学涉病原微生物实验室情况统计表</w:t>
      </w:r>
    </w:p>
    <w:p>
      <w:pPr>
        <w:ind w:firstLine="645"/>
        <w:jc w:val="left"/>
        <w:rPr>
          <w:rFonts w:hint="eastAsia" w:ascii="仿宋_GB2312" w:eastAsia="仿宋_GB2312"/>
          <w:sz w:val="32"/>
          <w:szCs w:val="32"/>
        </w:rPr>
      </w:pPr>
    </w:p>
    <w:p>
      <w:pPr>
        <w:ind w:firstLine="645"/>
        <w:jc w:val="left"/>
        <w:rPr>
          <w:rFonts w:hint="eastAsia" w:ascii="仿宋_GB2312" w:eastAsia="仿宋_GB2312"/>
          <w:sz w:val="32"/>
          <w:szCs w:val="32"/>
        </w:rPr>
      </w:pPr>
      <w:bookmarkStart w:id="0" w:name="_GoBack"/>
      <w:bookmarkEnd w:id="0"/>
    </w:p>
    <w:p>
      <w:pPr>
        <w:ind w:left="3360" w:leftChars="1600" w:firstLine="645"/>
        <w:jc w:val="right"/>
        <w:rPr>
          <w:rFonts w:ascii="仿宋_GB2312" w:eastAsia="仿宋_GB2312"/>
          <w:sz w:val="32"/>
          <w:szCs w:val="32"/>
        </w:rPr>
      </w:pPr>
      <w:r>
        <w:rPr>
          <w:rFonts w:hint="eastAsia" w:ascii="仿宋_GB2312" w:eastAsia="仿宋_GB2312"/>
          <w:sz w:val="32"/>
          <w:szCs w:val="32"/>
        </w:rPr>
        <w:t>国有资产与实验室管理处</w:t>
      </w:r>
    </w:p>
    <w:p>
      <w:pPr>
        <w:ind w:left="3360" w:leftChars="1600" w:firstLine="645"/>
        <w:jc w:val="right"/>
        <w:rPr>
          <w:rFonts w:ascii="仿宋_GB2312" w:eastAsia="仿宋_GB2312"/>
          <w:sz w:val="32"/>
          <w:szCs w:val="32"/>
        </w:rPr>
      </w:pPr>
      <w:r>
        <w:rPr>
          <w:rFonts w:hint="eastAsia" w:ascii="仿宋_GB2312" w:eastAsia="仿宋_GB2312"/>
          <w:sz w:val="32"/>
          <w:szCs w:val="32"/>
        </w:rPr>
        <w:t>2021年8月13日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B1"/>
    <w:rsid w:val="000A7247"/>
    <w:rsid w:val="001F126D"/>
    <w:rsid w:val="00307CC6"/>
    <w:rsid w:val="003C1FB1"/>
    <w:rsid w:val="006E5EF8"/>
    <w:rsid w:val="00920DFA"/>
    <w:rsid w:val="00A45460"/>
    <w:rsid w:val="00AD70F7"/>
    <w:rsid w:val="00B87A72"/>
    <w:rsid w:val="00BA5150"/>
    <w:rsid w:val="00C21C92"/>
    <w:rsid w:val="00DA7E2F"/>
    <w:rsid w:val="00F20D0A"/>
    <w:rsid w:val="4072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306</Characters>
  <Lines>2</Lines>
  <Paragraphs>1</Paragraphs>
  <TotalTime>0</TotalTime>
  <ScaleCrop>false</ScaleCrop>
  <LinksUpToDate>false</LinksUpToDate>
  <CharactersWithSpaces>358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2021-08-13T14:51:00Z</dcterms:created>
  <dc:creator>GUOYONG</dc:creator>
  <cp:lastModifiedBy>Administrator</cp:lastModifiedBy>
  <dcterms:modified xsi:type="dcterms:W3CDTF">2021-08-14T04:19:15Z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1DFBBA91BDCC42BC96A4B3994E5A5275</vt:lpwstr>
  </property>
</Properties>
</file>